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ÇAMLICA KIZ ANADOLU LİSESİ </w:t>
      </w: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2018-2019 EĞİTİM ÖĞRETİM YILI </w:t>
      </w:r>
    </w:p>
    <w:p w:rsid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ORTA ÖĞRETİM KURUMLARI YÖNETMELİĞİ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’NİN</w:t>
      </w:r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İLGİLİ MADDELER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İ</w:t>
      </w: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val="en-US"/>
        </w:rPr>
        <w:t>OKUL KURALLARI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46BBF">
        <w:rPr>
          <w:rFonts w:ascii="Arial" w:eastAsia="Times New Roman" w:hAnsi="Arial" w:cs="Arial"/>
          <w:b/>
          <w:sz w:val="20"/>
          <w:szCs w:val="20"/>
        </w:rPr>
        <w:t>.</w:t>
      </w: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Başarılarının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Puanla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değerlendirmesi</w:t>
      </w:r>
      <w:proofErr w:type="spell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 xml:space="preserve">Puan Derece 85,00-100 Pekiyi 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 xml:space="preserve">70,00-84,99 İyi 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 xml:space="preserve">60,00-69,99 Orta 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 xml:space="preserve">50,00-59,99 Geçer 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 xml:space="preserve">0-49,99 </w:t>
      </w:r>
      <w:proofErr w:type="gramStart"/>
      <w:r w:rsidRPr="00746BBF">
        <w:rPr>
          <w:rFonts w:ascii="Arial" w:eastAsia="Times New Roman" w:hAnsi="Arial" w:cs="Arial"/>
          <w:sz w:val="20"/>
          <w:szCs w:val="20"/>
        </w:rPr>
        <w:t>Geçmez</w:t>
      </w:r>
      <w:proofErr w:type="gram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746BBF">
        <w:rPr>
          <w:rFonts w:ascii="Arial" w:eastAsia="Times New Roman" w:hAnsi="Arial" w:cs="Arial"/>
          <w:b/>
          <w:i/>
          <w:sz w:val="20"/>
          <w:szCs w:val="20"/>
        </w:rPr>
        <w:t>****Haftalık ders saati sayısına bakılmaksızın her dersten en az iki sınav yapılması esastır.****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746BBF">
        <w:rPr>
          <w:rFonts w:ascii="Arial" w:eastAsia="Times New Roman" w:hAnsi="Arial" w:cs="Arial"/>
          <w:b/>
          <w:i/>
          <w:sz w:val="20"/>
          <w:szCs w:val="20"/>
        </w:rPr>
        <w:t xml:space="preserve">Öğrencilerin Doğrudan sınıf </w:t>
      </w:r>
      <w:proofErr w:type="gramStart"/>
      <w:r w:rsidRPr="00746BBF">
        <w:rPr>
          <w:rFonts w:ascii="Arial" w:eastAsia="Times New Roman" w:hAnsi="Arial" w:cs="Arial"/>
          <w:b/>
          <w:i/>
          <w:sz w:val="20"/>
          <w:szCs w:val="20"/>
        </w:rPr>
        <w:t>geçmesi ;</w:t>
      </w:r>
      <w:proofErr w:type="gram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a)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Tüm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derslerden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başarılı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,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b)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Başarısız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/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olanlardan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yılsonu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başarı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puanı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az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50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öğrenciler</w:t>
      </w:r>
      <w:proofErr w:type="spell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doğrudan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sınıf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geçer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746BBF" w:rsidRPr="00746BBF" w:rsidRDefault="00746BBF" w:rsidP="00746BBF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Yılsonu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başarı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puanıyla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başarılı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sayılamayacak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derslerden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başarısız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öğrenciler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o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dersten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/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derslerden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sorumlu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geçer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(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Türk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Dili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Edebiyatı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)</w:t>
      </w: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Sorumlu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olarak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sınıf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geçme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sorumluluğun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kalkması</w:t>
      </w:r>
      <w:proofErr w:type="spellEnd"/>
    </w:p>
    <w:p w:rsidR="00746BBF" w:rsidRPr="00746BBF" w:rsidRDefault="00746BBF" w:rsidP="00746BBF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:rsidR="00746BBF" w:rsidRPr="00746BBF" w:rsidRDefault="00746BBF" w:rsidP="00746BBF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>Ders yılı sonunda her bir dersten iki dönem puanı bulunmak kaydıyla doğrudan sınıfını geçemeyen öğrencilerden; bir sınıfta başarısız ders sayısı en fazla 3 ders olanlar sorumlu olarak sınıflarını geçer. Ancak alt sınıflar da dâhil toplam 6 dersten fazla başarısız dersi bulunanlar sınıf tekrar eder.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Devam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-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devamsızlık</w:t>
      </w:r>
      <w:proofErr w:type="spell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 xml:space="preserve">Devamsızlık süresi özürsüz 10 gün, özürlü(mazeretli) 20 gündür. 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>Öğrencinin devamsızlık yaptığı süreye ilişkin özür belgesi veya yazılı veli beyanı, özür gününü takip eden en geç 5 iş günü içinde okul yönetimine velisi tarafından verilir</w:t>
      </w: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Öğrencilerin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ödüllendirilmesi</w:t>
      </w:r>
      <w:proofErr w:type="spellEnd"/>
    </w:p>
    <w:p w:rsidR="00746BBF" w:rsidRPr="00746BBF" w:rsidRDefault="00746BBF" w:rsidP="00746BBF">
      <w:pPr>
        <w:spacing w:after="0" w:line="240" w:lineRule="atLeast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tr-TR"/>
        </w:rPr>
      </w:pPr>
      <w:r w:rsidRPr="00746BBF">
        <w:rPr>
          <w:rFonts w:ascii="Arial" w:eastAsia="Times New Roman" w:hAnsi="Arial" w:cs="Arial"/>
          <w:b/>
          <w:i/>
          <w:color w:val="000000"/>
          <w:sz w:val="20"/>
          <w:szCs w:val="20"/>
          <w:lang w:eastAsia="tr-TR"/>
        </w:rPr>
        <w:t xml:space="preserve">     Okul öğrenci ödül ve disiplin kurulu, derslerdeki gayret ve başarılarıyla üstünlük gösteren, özürsüz devamsızlık süresi 5 günü geçmeyen, tüm derslerden başarılı olan, dönem puanlarının ağırlıklı ortalaması 70,00 ten aşağı olmayan ve davranış puanı 100 olan öğrencilerden;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 xml:space="preserve">a) 70,00-84,99 arasındakileri teşekkür belgesi, 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 xml:space="preserve">b) 85,00 ve daha yukarı olanları takdir belgesi, 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>c) Ortaöğrenim süresince en az üç öğretim yılının bütün döneminde takdir belgesi alanları üstün başarı belgesi ile ödüllendirir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c)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Onur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belgesi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,</w:t>
      </w: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Öğrencilere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disiplin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cezasını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gerektiren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davranış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fiillerinin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niteliklerine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göre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;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a)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Kınama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,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b)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kısa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süreli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uzaklaştırma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,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c)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değiştirme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,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ç)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Örgün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eğitim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dışına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çıkarma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cezalarından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verilir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    </w:t>
      </w:r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ÇAMLICA KIZ ANADOLU LİSESİ 2018-2019 EĞİTİM ÖĞRETİM YILI ZAMAN ÇİZELGESİ</w:t>
      </w:r>
    </w:p>
    <w:tbl>
      <w:tblPr>
        <w:tblStyle w:val="TabloKlavuzu1"/>
        <w:tblW w:w="0" w:type="auto"/>
        <w:tblLook w:val="05A0" w:firstRow="1" w:lastRow="0" w:firstColumn="1" w:lastColumn="1" w:noHBand="0" w:noVBand="1"/>
      </w:tblPr>
      <w:tblGrid>
        <w:gridCol w:w="3506"/>
        <w:gridCol w:w="2195"/>
        <w:gridCol w:w="3021"/>
      </w:tblGrid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DERSLER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GİRİŞ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ÇIKIŞ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1. DERS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09:10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TENEFFÜS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09:10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09:20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09:20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TENEFFÜS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3. DERS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10:50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TENEFFÜS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10:50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4. DERS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11:40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TENEFFÜS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11:40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11:50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5.DERS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11:50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ÖĞLE ARASI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6.DERS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13:55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TENEFFÜS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13:55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14:05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7.DERS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14:05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TENEFFÜS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14:55</w:t>
            </w:r>
          </w:p>
        </w:tc>
      </w:tr>
      <w:tr w:rsidR="00746BBF" w:rsidRPr="00746BBF" w:rsidTr="007E731C">
        <w:trPr>
          <w:trHeight w:val="273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8. DERS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14:55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15:35</w:t>
            </w:r>
          </w:p>
        </w:tc>
      </w:tr>
    </w:tbl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OKUL KURALLARI: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Eğitim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-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öğretim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saat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08.30’de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başlar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geç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saat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08.20’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olmalıdır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geç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gelen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öğrencinin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sınıfa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girebilmesi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için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nöbetçi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müdür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yardımcısından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sınıfa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kabul</w:t>
      </w:r>
      <w:proofErr w:type="spellEnd"/>
      <w:proofErr w:type="gram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kağıdı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alması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gerekir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Geç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kalma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ilk 10dk.</w:t>
      </w:r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sonra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ise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sınıfa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alınır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ancak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yarım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devamsız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sayılır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Beşinci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bitiminden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sonra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öğrencilerin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devamsızlığı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diğer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devamsızlıklar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ise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yarım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sayılır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Sabah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geç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gelmeler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mazeret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kağıdı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kabul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edilmez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>**</w:t>
      </w:r>
      <w:r w:rsidRPr="00746BBF">
        <w:rPr>
          <w:rFonts w:ascii="Arial" w:eastAsia="Times New Roman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Herhangi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sebeple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sınava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giremeyen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telafi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sınavı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perşembe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çıkış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saatinden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sonra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yapılır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sınavı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geldiği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itibaren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ilk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sınav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gününde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uygulanır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yönetmeliğe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uygun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raporu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zamanında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getirmemesi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durumunda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sınav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geçersiz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sayılır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gelmeyen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sadece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telafi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sınavına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veya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çıkış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saatinden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sonra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düzenlenen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etkinliğe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katılmak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üzere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gelemez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Özürsüz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izinsiz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olarak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devamsızlığı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geç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gelmeyi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alışkanlık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haline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getiren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gerektiğinde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ilk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girmesine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izin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verilmez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davranışıyla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ilgili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Disiplin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Yönetmeliği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hükümleri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uygulanır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bulunduğu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halde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izinsiz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olarak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veya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daha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fazla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/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etkinliğe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girmeyen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yarım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devamsız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sayılır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davranışı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Disiplin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Kurulunda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değerlendirilir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özel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durumlar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dışında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bitimine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kadar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kalır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Bu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nedenle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randevuların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(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doktor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vize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vs.)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çok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zorunlu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olmadıkça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saatleri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alınmaması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alınmak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zorunda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kalındıysa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çıkış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isteğinin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az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önceden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tarafından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dilekçe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bildirilmesi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gerekir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Dilekçenin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kabul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edilmesi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durumunda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yarım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devamsız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sayılır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Sınav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öncesi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sınav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hazırlığı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sürülerek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devamsızlık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yapılması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eğitimdeki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düzen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programlı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olma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anlayışına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engeldir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b/>
          <w:i/>
          <w:color w:val="FF0000"/>
          <w:sz w:val="20"/>
          <w:szCs w:val="20"/>
          <w:lang w:val="en-US"/>
        </w:rPr>
        <w:t>***</w:t>
      </w:r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ÇKAL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logolu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sweartshirt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okul</w:t>
      </w:r>
      <w:proofErr w:type="spellEnd"/>
      <w:proofErr w:type="gram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logolu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beyaz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tişört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siyah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pantolonu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giyilmelidir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.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>***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Beden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eğitimi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derslerinde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eşofmanı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 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giyilecektir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Uzun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da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kısa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kollu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beyaz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armalı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polo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tişört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(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soğuk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günlerde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polonun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içine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giyilecek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tişörtün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mutlaka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beyaz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olması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gerekmektedir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giyilmesi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zorunludur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Koyu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renkli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kapalı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topuksuz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ayakkabı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veya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bot (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kasım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ayından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mart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sonuna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kadar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düz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renk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çizme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veya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bot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giyilebilir</w:t>
      </w:r>
      <w:proofErr w:type="spellEnd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. )</w:t>
      </w:r>
      <w:proofErr w:type="gram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,</w:t>
      </w:r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giriş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-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çıkışında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okulun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içindeki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tüm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alanlarda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-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sınıf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koridor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kantin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kütüphane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bahçe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vb.-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üniforma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olmak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zorundadır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Öğrenciler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saatleri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yapılan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gezilere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(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üniversite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gezisi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sosyal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kulüp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gezileri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vb.)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kıyafeti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katılmak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zorundadır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********* </w:t>
      </w:r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Bu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kurallara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uyulmadığında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uygun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olmayan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kıyafetler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aileye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bilgi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verilerek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idaresince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alınır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dönem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sonunda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geri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verilir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Boyalı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saç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makyaj</w:t>
      </w:r>
      <w:proofErr w:type="spellEnd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oje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uygun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değildir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Herhangi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nedenle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uygun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olmayan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tarzda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idareci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veya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öğretmen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tarafından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görülmesi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durumunda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hemen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ilk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teneffüste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hazır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duruma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durum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müdür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yardımcısı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tarafından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kayda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geçirilir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kısa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mesaj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bilgilendirilir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Öğrencinin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bu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prosedürü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bilerek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uzatması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sonraki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derse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geç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girmesine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neden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olursa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geç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gelmiş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sayılır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.</w:t>
      </w:r>
      <w:proofErr w:type="gram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Hızma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piercing,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yüzük</w:t>
      </w:r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,küpe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kolye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bilezik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rozet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herhangi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simge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içeren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takılar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gelinmez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Kız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öğrenciler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küçük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küpe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takabilir</w:t>
      </w:r>
      <w:proofErr w:type="spellEnd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,  Bu</w:t>
      </w:r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kurallara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uymayan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öğrencilerin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takıları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idaresince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alınır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dönem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sonunda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verilir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Sınıflar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kantin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tuvaletler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,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bahçe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alanı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vb.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düzenli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olarak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personel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tarafından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temizlenir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Ancak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ortak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alanların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kişisel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dolapların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düzeni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temiz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tutulması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öncelikle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öğrencilerin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sorumluluğundadır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Sınıfa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yiyecek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içecek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girilmesi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yasaktır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 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***9-10 11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12.sınıf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sırayla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nöbetçi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olarak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görevli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olup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nöbetçi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öğretmene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idareye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her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konuda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yardımcı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olmakla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yetkilidirler</w:t>
      </w:r>
      <w:proofErr w:type="spell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Spor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gezi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maç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v.b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etkinlik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öncesinde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tarafından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yazı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mutlaka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velinin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izni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alınır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Velinin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bilgisi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veya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yazılı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izni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olmadan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gezi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düzenlenmez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bireysel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olarak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katıldığı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kulüplere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bağlı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spor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yarışmaları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gereken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izinlerde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idaresiyle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önceden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görüşülmesi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esastır</w:t>
      </w:r>
      <w:proofErr w:type="spell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Sigara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alkol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vs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gibi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zararlı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maddeleri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çevresinde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kullanmak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yasaktır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Bu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davranışlar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görüldüğünde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“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Disiplin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Yönetmeliği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”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uygulanır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Adres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telefon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ilgili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değişikliklerin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idaresine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bildirilmesi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önemli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zorunludur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Disiplin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Yönetmeliğinde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“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okulca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istenen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kişisel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veya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ailesi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ilgili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bilgileri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geç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bildirmek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yanlış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bildirmek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veya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bildirmemek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”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uygun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olmayan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davranış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olarak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belirtilmiştir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proofErr w:type="gram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*** İlk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ders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saatinde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öğrencilerin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cep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telefonları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alınır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son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ders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saatinde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teslim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edilir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.</w:t>
      </w:r>
      <w:proofErr w:type="gram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saatleri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içinde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öğrencilerin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cep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telefonu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kullanımı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yasaktır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.</w:t>
      </w:r>
      <w:proofErr w:type="gram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saatleri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içinde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telefon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kullanımı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tespit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edilen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disiplin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kurulu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tarafından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değerlendrimeye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alınacaktır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.</w:t>
      </w:r>
      <w:proofErr w:type="gram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                                                                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Nihal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Mert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GEDİK</w:t>
      </w:r>
    </w:p>
    <w:p w:rsidR="00FD33D1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                                                             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Müdürü</w:t>
      </w:r>
      <w:proofErr w:type="spellEnd"/>
    </w:p>
    <w:sectPr w:rsidR="00FD33D1" w:rsidRPr="00746BBF" w:rsidSect="002A630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F"/>
    <w:rsid w:val="00746BBF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746BBF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74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746BBF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74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1</cp:revision>
  <cp:lastPrinted>2018-09-25T07:43:00Z</cp:lastPrinted>
  <dcterms:created xsi:type="dcterms:W3CDTF">2018-09-25T07:41:00Z</dcterms:created>
  <dcterms:modified xsi:type="dcterms:W3CDTF">2018-09-25T07:44:00Z</dcterms:modified>
</cp:coreProperties>
</file>